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22" w:rsidRPr="001C45A2" w:rsidRDefault="00EF3122" w:rsidP="00EF3122">
      <w:pPr>
        <w:pStyle w:val="Titre"/>
        <w:rPr>
          <w:color w:val="auto"/>
          <w:sz w:val="40"/>
        </w:rPr>
      </w:pPr>
      <w:bookmarkStart w:id="0" w:name="_GoBack"/>
      <w:bookmarkEnd w:id="0"/>
      <w:r w:rsidRPr="00EF3122">
        <w:rPr>
          <w:rFonts w:asciiTheme="minorHAnsi" w:hAnsiTheme="minorHAnsi" w:cstheme="minorHAnsi"/>
          <w:noProof/>
          <w:color w:val="222222"/>
          <w:sz w:val="20"/>
          <w:szCs w:val="20"/>
        </w:rPr>
        <w:drawing>
          <wp:anchor distT="0" distB="0" distL="114300" distR="114300" simplePos="0" relativeHeight="251658240" behindDoc="1" locked="0" layoutInCell="1" allowOverlap="1" wp14:anchorId="5941D5E7" wp14:editId="4DB7F65A">
            <wp:simplePos x="0" y="0"/>
            <wp:positionH relativeFrom="column">
              <wp:posOffset>0</wp:posOffset>
            </wp:positionH>
            <wp:positionV relativeFrom="paragraph">
              <wp:posOffset>847725</wp:posOffset>
            </wp:positionV>
            <wp:extent cx="2609850" cy="1711325"/>
            <wp:effectExtent l="0" t="0" r="0" b="3175"/>
            <wp:wrapTight wrapText="bothSides">
              <wp:wrapPolygon edited="0">
                <wp:start x="0" y="0"/>
                <wp:lineTo x="0" y="21400"/>
                <wp:lineTo x="21442" y="21400"/>
                <wp:lineTo x="21442" y="0"/>
                <wp:lineTo x="0" y="0"/>
              </wp:wrapPolygon>
            </wp:wrapTight>
            <wp:docPr id="135" name="Image 135" descr="remontées-acides-refl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remontées-acides-reflu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7113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EF3122">
          <w:rPr>
            <w:rStyle w:val="Lienhypertexte"/>
            <w:color w:val="333333"/>
            <w:sz w:val="40"/>
            <w:u w:val="none"/>
          </w:rPr>
          <w:t>Reflux gastro-</w:t>
        </w:r>
        <w:proofErr w:type="spellStart"/>
        <w:r w:rsidRPr="00EF3122">
          <w:rPr>
            <w:rStyle w:val="Lienhypertexte"/>
            <w:color w:val="333333"/>
            <w:sz w:val="40"/>
            <w:u w:val="none"/>
          </w:rPr>
          <w:t>oesophagien</w:t>
        </w:r>
        <w:proofErr w:type="spellEnd"/>
        <w:r w:rsidRPr="00EF3122">
          <w:rPr>
            <w:rStyle w:val="Lienhypertexte"/>
            <w:color w:val="333333"/>
            <w:sz w:val="40"/>
            <w:u w:val="none"/>
          </w:rPr>
          <w:t>-RGO : que peut faire l’ostéopathie ?</w:t>
        </w:r>
      </w:hyperlink>
      <w:r w:rsidRPr="001C45A2">
        <w:rPr>
          <w:color w:val="auto"/>
          <w:sz w:val="40"/>
        </w:rPr>
        <w:t xml:space="preserve"> </w:t>
      </w:r>
    </w:p>
    <w:p w:rsidR="00456CD5" w:rsidRDefault="00456CD5" w:rsidP="00EF3122">
      <w:pPr>
        <w:shd w:val="clear" w:color="auto" w:fill="FFFFFF"/>
        <w:spacing w:after="0"/>
        <w:rPr>
          <w:rFonts w:cstheme="minorHAnsi"/>
          <w:color w:val="333333"/>
          <w:sz w:val="20"/>
          <w:szCs w:val="20"/>
        </w:rPr>
      </w:pPr>
      <w:r w:rsidRPr="00EF3122">
        <w:rPr>
          <w:rFonts w:cstheme="minorHAnsi"/>
          <w:color w:val="333333"/>
          <w:sz w:val="20"/>
          <w:szCs w:val="20"/>
        </w:rPr>
        <w:t>Le </w:t>
      </w:r>
      <w:r w:rsidRPr="00EF3122">
        <w:rPr>
          <w:rStyle w:val="lev"/>
          <w:rFonts w:cstheme="minorHAnsi"/>
          <w:color w:val="333333"/>
          <w:sz w:val="20"/>
          <w:szCs w:val="20"/>
        </w:rPr>
        <w:t>reflux gastro-œsophagien </w:t>
      </w:r>
      <w:r w:rsidRPr="00EF3122">
        <w:rPr>
          <w:rFonts w:cstheme="minorHAnsi"/>
          <w:color w:val="333333"/>
          <w:sz w:val="20"/>
          <w:szCs w:val="20"/>
        </w:rPr>
        <w:t>ou </w:t>
      </w:r>
      <w:r w:rsidRPr="00EF3122">
        <w:rPr>
          <w:rStyle w:val="lev"/>
          <w:rFonts w:cstheme="minorHAnsi"/>
          <w:color w:val="333333"/>
          <w:sz w:val="20"/>
          <w:szCs w:val="20"/>
        </w:rPr>
        <w:t>« RGO »</w:t>
      </w:r>
      <w:r w:rsidRPr="00EF3122">
        <w:rPr>
          <w:rFonts w:cstheme="minorHAnsi"/>
          <w:color w:val="333333"/>
          <w:sz w:val="20"/>
          <w:szCs w:val="20"/>
        </w:rPr>
        <w:t>, appelé également </w:t>
      </w:r>
      <w:r w:rsidRPr="00EF3122">
        <w:rPr>
          <w:rStyle w:val="lev"/>
          <w:rFonts w:cstheme="minorHAnsi"/>
          <w:color w:val="333333"/>
          <w:sz w:val="20"/>
          <w:szCs w:val="20"/>
        </w:rPr>
        <w:t>reflux gastrique</w:t>
      </w:r>
      <w:r w:rsidRPr="00EF3122">
        <w:rPr>
          <w:rFonts w:cstheme="minorHAnsi"/>
          <w:color w:val="333333"/>
          <w:sz w:val="20"/>
          <w:szCs w:val="20"/>
        </w:rPr>
        <w:t>, est une affection courante. En effet, un tiers environ de la population adulte souffre de brûlures liées au reflux gastrique. Du nourrisson au senior en passant par la femme enceinte, le RGO peut se manifester à tout âge.  Cette pathologie peut provoquer une gêne importante pour le patient, notamment dans un reflux chronique. Si des traitements médicamenteux existent, l’ostéopathie comme méthode naturelle peut se montrer efficace.  Décryptage !</w:t>
      </w:r>
    </w:p>
    <w:p w:rsidR="00EF3122" w:rsidRDefault="00EF3122" w:rsidP="00EF3122">
      <w:pPr>
        <w:shd w:val="clear" w:color="auto" w:fill="FFFFFF"/>
        <w:spacing w:after="0"/>
        <w:rPr>
          <w:rFonts w:cstheme="minorHAnsi"/>
          <w:color w:val="333333"/>
          <w:sz w:val="20"/>
          <w:szCs w:val="20"/>
        </w:rPr>
      </w:pPr>
    </w:p>
    <w:p w:rsidR="00EF3122" w:rsidRPr="00EF3122" w:rsidRDefault="00EF3122" w:rsidP="00EF3122">
      <w:pPr>
        <w:shd w:val="clear" w:color="auto" w:fill="FFFFFF"/>
        <w:spacing w:after="0"/>
        <w:rPr>
          <w:rFonts w:cstheme="minorHAnsi"/>
          <w:color w:val="333333"/>
          <w:sz w:val="20"/>
          <w:szCs w:val="20"/>
        </w:rPr>
      </w:pP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 </w:t>
      </w:r>
    </w:p>
    <w:p w:rsidR="00456CD5" w:rsidRPr="00EF3122" w:rsidRDefault="00456CD5" w:rsidP="00EF3122">
      <w:pPr>
        <w:pStyle w:val="Titre2"/>
        <w:shd w:val="clear" w:color="auto" w:fill="FFFFFF"/>
        <w:spacing w:before="0" w:beforeAutospacing="0" w:after="0" w:afterAutospacing="0"/>
        <w:rPr>
          <w:rFonts w:asciiTheme="minorHAnsi" w:hAnsiTheme="minorHAnsi" w:cstheme="minorHAnsi"/>
          <w:b w:val="0"/>
          <w:bCs w:val="0"/>
          <w:sz w:val="24"/>
          <w:szCs w:val="20"/>
        </w:rPr>
      </w:pPr>
      <w:r w:rsidRPr="00EF3122">
        <w:rPr>
          <w:rStyle w:val="lev"/>
          <w:rFonts w:asciiTheme="minorHAnsi" w:hAnsiTheme="minorHAnsi" w:cstheme="minorHAnsi"/>
          <w:b/>
          <w:bCs/>
          <w:sz w:val="24"/>
          <w:szCs w:val="20"/>
        </w:rPr>
        <w:t xml:space="preserve">Qu’appelle-t-on reflux </w:t>
      </w:r>
      <w:proofErr w:type="spellStart"/>
      <w:r w:rsidRPr="00EF3122">
        <w:rPr>
          <w:rStyle w:val="lev"/>
          <w:rFonts w:asciiTheme="minorHAnsi" w:hAnsiTheme="minorHAnsi" w:cstheme="minorHAnsi"/>
          <w:b/>
          <w:bCs/>
          <w:sz w:val="24"/>
          <w:szCs w:val="20"/>
        </w:rPr>
        <w:t>gastro-oesophagien</w:t>
      </w:r>
      <w:proofErr w:type="spellEnd"/>
      <w:r w:rsidRPr="00EF3122">
        <w:rPr>
          <w:rStyle w:val="lev"/>
          <w:rFonts w:asciiTheme="minorHAnsi" w:hAnsiTheme="minorHAnsi" w:cstheme="minorHAnsi"/>
          <w:b/>
          <w:bCs/>
          <w:sz w:val="24"/>
          <w:szCs w:val="20"/>
        </w:rPr>
        <w:t xml:space="preserve"> (RGO)?</w:t>
      </w: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p>
    <w:p w:rsidR="00EF3122" w:rsidRDefault="00EF3122"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74F91A84" wp14:editId="137B2780">
            <wp:simplePos x="0" y="0"/>
            <wp:positionH relativeFrom="column">
              <wp:align>right</wp:align>
            </wp:positionH>
            <wp:positionV relativeFrom="page">
              <wp:posOffset>3614420</wp:posOffset>
            </wp:positionV>
            <wp:extent cx="3638550" cy="2366010"/>
            <wp:effectExtent l="0" t="0" r="0" b="0"/>
            <wp:wrapTight wrapText="bothSides">
              <wp:wrapPolygon edited="0">
                <wp:start x="0" y="0"/>
                <wp:lineTo x="0" y="21391"/>
                <wp:lineTo x="21487" y="21391"/>
                <wp:lineTo x="21487" y="0"/>
                <wp:lineTo x="0" y="0"/>
              </wp:wrapPolygon>
            </wp:wrapTight>
            <wp:docPr id="133" name="Image 133" descr="reflux-gastriqu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reflux-gastrique-quest-ce-que-c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991" cy="236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D5" w:rsidRPr="00EF3122">
        <w:rPr>
          <w:rStyle w:val="lev"/>
          <w:rFonts w:asciiTheme="minorHAnsi" w:hAnsiTheme="minorHAnsi" w:cstheme="minorHAnsi"/>
          <w:color w:val="333333"/>
          <w:sz w:val="20"/>
          <w:szCs w:val="20"/>
        </w:rPr>
        <w:t xml:space="preserve">Le reflux </w:t>
      </w:r>
      <w:proofErr w:type="spellStart"/>
      <w:r w:rsidR="00456CD5" w:rsidRPr="00EF3122">
        <w:rPr>
          <w:rStyle w:val="lev"/>
          <w:rFonts w:asciiTheme="minorHAnsi" w:hAnsiTheme="minorHAnsi" w:cstheme="minorHAnsi"/>
          <w:color w:val="333333"/>
          <w:sz w:val="20"/>
          <w:szCs w:val="20"/>
        </w:rPr>
        <w:t>gastro-oesophagien</w:t>
      </w:r>
      <w:proofErr w:type="spellEnd"/>
      <w:r w:rsidR="00456CD5" w:rsidRPr="00EF3122">
        <w:rPr>
          <w:rStyle w:val="lev"/>
          <w:rFonts w:asciiTheme="minorHAnsi" w:hAnsiTheme="minorHAnsi" w:cstheme="minorHAnsi"/>
          <w:color w:val="333333"/>
          <w:sz w:val="20"/>
          <w:szCs w:val="20"/>
        </w:rPr>
        <w:t> </w:t>
      </w:r>
      <w:r w:rsidR="00456CD5" w:rsidRPr="00EF3122">
        <w:rPr>
          <w:rFonts w:asciiTheme="minorHAnsi" w:hAnsiTheme="minorHAnsi" w:cstheme="minorHAnsi"/>
          <w:color w:val="333333"/>
          <w:sz w:val="20"/>
          <w:szCs w:val="20"/>
        </w:rPr>
        <w:t>est une remontée du contenu de l’estomac (aliments et acides) dans l’œsophage. Il est généralement dû à un mauvais fonctionnement du cardia, sphincter à la jonction entre l’œsophage et l’estomac, mécanisme anti-reflux naturel</w:t>
      </w:r>
    </w:p>
    <w:p w:rsidR="00EF3122" w:rsidRPr="00EF3122" w:rsidRDefault="00EF3122"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 L’estomac émet des sucs gastriques, des substances très acides qui aident à la digestion des aliments. Or, la paroi de l’œsophage n’est pas conçue pour résister à l’acidité du contenu de l’estomac. Le reflux entraîne donc une inflammation de l’œsophage, qui se traduit par des sensations de brûlure et d’irritation.</w:t>
      </w: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Dans les récidives aiguës, les reflux gastriques répétés peuvent causer des lésions à l’œsophage.</w:t>
      </w:r>
    </w:p>
    <w:p w:rsidR="00EF3122" w:rsidRPr="00EF3122" w:rsidRDefault="00EF3122"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On distingue :</w:t>
      </w:r>
    </w:p>
    <w:p w:rsidR="00456CD5" w:rsidRPr="00EF3122" w:rsidRDefault="00456CD5" w:rsidP="00EF3122">
      <w:pPr>
        <w:numPr>
          <w:ilvl w:val="0"/>
          <w:numId w:val="1"/>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Le </w:t>
      </w:r>
      <w:r w:rsidRPr="00EF3122">
        <w:rPr>
          <w:rStyle w:val="lev"/>
          <w:rFonts w:cstheme="minorHAnsi"/>
          <w:color w:val="333333"/>
          <w:sz w:val="20"/>
          <w:szCs w:val="20"/>
        </w:rPr>
        <w:t>reflux gastro-œsophagien « physiologique » intermittent </w:t>
      </w:r>
      <w:r w:rsidRPr="00EF3122">
        <w:rPr>
          <w:rFonts w:cstheme="minorHAnsi"/>
          <w:color w:val="333333"/>
          <w:sz w:val="20"/>
          <w:szCs w:val="20"/>
        </w:rPr>
        <w:t>n’entraînant pas de complications. Les symptômes surviennent surtout après les repas, la nuit ou en position penchée en avant. C’est un phénomène normal lorsqu’il est peu fréquent, bref et non douloureux.</w:t>
      </w:r>
    </w:p>
    <w:p w:rsidR="00456CD5" w:rsidRPr="00EF3122" w:rsidRDefault="00456CD5" w:rsidP="00EF3122">
      <w:pPr>
        <w:numPr>
          <w:ilvl w:val="0"/>
          <w:numId w:val="1"/>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Le </w:t>
      </w:r>
      <w:r w:rsidRPr="00EF3122">
        <w:rPr>
          <w:rStyle w:val="lev"/>
          <w:rFonts w:cstheme="minorHAnsi"/>
          <w:color w:val="333333"/>
          <w:sz w:val="20"/>
          <w:szCs w:val="20"/>
        </w:rPr>
        <w:t>reflux gastro-œsophagien </w:t>
      </w:r>
      <w:r w:rsidRPr="00EF3122">
        <w:rPr>
          <w:rFonts w:cstheme="minorHAnsi"/>
          <w:color w:val="333333"/>
          <w:sz w:val="20"/>
          <w:szCs w:val="20"/>
        </w:rPr>
        <w:t>qui dure et qui est fréquent. Dans ce cas, les remontées acides de l’estomac sont importantes, très fréquentes et prolongées dans le temps. L’acidité du liquide gastrique irrite la muqueuse de l’œsophage et peut être responsable de l’œsophagite, à savoir une inflammation de la muqueuse.</w:t>
      </w: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 xml:space="preserve">Les </w:t>
      </w:r>
      <w:proofErr w:type="gramStart"/>
      <w:r w:rsidRPr="00EF3122">
        <w:rPr>
          <w:rFonts w:asciiTheme="minorHAnsi" w:hAnsiTheme="minorHAnsi" w:cstheme="minorHAnsi"/>
          <w:color w:val="333333"/>
          <w:sz w:val="20"/>
          <w:szCs w:val="20"/>
        </w:rPr>
        <w:t>personne</w:t>
      </w:r>
      <w:proofErr w:type="gramEnd"/>
      <w:r w:rsidRPr="00EF3122">
        <w:rPr>
          <w:rFonts w:asciiTheme="minorHAnsi" w:hAnsiTheme="minorHAnsi" w:cstheme="minorHAnsi"/>
          <w:color w:val="333333"/>
          <w:sz w:val="20"/>
          <w:szCs w:val="20"/>
        </w:rPr>
        <w:t> à risque sont :</w:t>
      </w:r>
    </w:p>
    <w:p w:rsidR="00456CD5" w:rsidRPr="00EF3122" w:rsidRDefault="00456CD5"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r w:rsidRPr="00EF3122">
        <w:rPr>
          <w:rFonts w:asciiTheme="minorHAnsi" w:hAnsiTheme="minorHAnsi" w:cstheme="minorHAnsi"/>
          <w:color w:val="333333"/>
          <w:sz w:val="20"/>
          <w:szCs w:val="20"/>
        </w:rPr>
        <w:t>–</w:t>
      </w:r>
      <w:r w:rsidRPr="00EF3122">
        <w:rPr>
          <w:rStyle w:val="lev"/>
          <w:rFonts w:asciiTheme="minorHAnsi" w:hAnsiTheme="minorHAnsi" w:cstheme="minorHAnsi"/>
          <w:color w:val="333333"/>
          <w:sz w:val="20"/>
          <w:szCs w:val="20"/>
        </w:rPr>
        <w:t>Les bébés de 3 à 4 mois,</w:t>
      </w:r>
      <w:r w:rsidRPr="00EF3122">
        <w:rPr>
          <w:rFonts w:asciiTheme="minorHAnsi" w:hAnsiTheme="minorHAnsi" w:cstheme="minorHAnsi"/>
          <w:color w:val="333333"/>
          <w:sz w:val="20"/>
          <w:szCs w:val="20"/>
        </w:rPr>
        <w:t> car leur système digestif n’est pas mature.</w:t>
      </w:r>
    </w:p>
    <w:p w:rsidR="00456CD5" w:rsidRPr="00EF3122" w:rsidRDefault="00456CD5"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r w:rsidRPr="00EF3122">
        <w:rPr>
          <w:rStyle w:val="lev"/>
          <w:rFonts w:asciiTheme="minorHAnsi" w:hAnsiTheme="minorHAnsi" w:cstheme="minorHAnsi"/>
          <w:color w:val="333333"/>
          <w:sz w:val="20"/>
          <w:szCs w:val="20"/>
        </w:rPr>
        <w:t>-Les personnes souffrant d’une hernie hiatale</w:t>
      </w:r>
      <w:r w:rsidRPr="00EF3122">
        <w:rPr>
          <w:rFonts w:asciiTheme="minorHAnsi" w:hAnsiTheme="minorHAnsi" w:cstheme="minorHAnsi"/>
          <w:color w:val="333333"/>
          <w:sz w:val="20"/>
          <w:szCs w:val="20"/>
        </w:rPr>
        <w:t> (une partie de l’estomac remonte dans la cage thoracique).</w:t>
      </w:r>
    </w:p>
    <w:p w:rsidR="00456CD5" w:rsidRPr="00EF3122" w:rsidRDefault="00456CD5"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r w:rsidRPr="00EF3122">
        <w:rPr>
          <w:rStyle w:val="lev"/>
          <w:rFonts w:asciiTheme="minorHAnsi" w:hAnsiTheme="minorHAnsi" w:cstheme="minorHAnsi"/>
          <w:color w:val="333333"/>
          <w:sz w:val="20"/>
          <w:szCs w:val="20"/>
        </w:rPr>
        <w:t>-Les femmes enceintes</w:t>
      </w:r>
      <w:r w:rsidRPr="00EF3122">
        <w:rPr>
          <w:rFonts w:asciiTheme="minorHAnsi" w:hAnsiTheme="minorHAnsi" w:cstheme="minorHAnsi"/>
          <w:color w:val="333333"/>
          <w:sz w:val="20"/>
          <w:szCs w:val="20"/>
        </w:rPr>
        <w:t> (notamment au cours des derniers mois de grossesse) : le fœtus exerce en effet une pression supplémentaire sur l’estomac. Dans ce cas, le reflux est provisoire.</w:t>
      </w:r>
    </w:p>
    <w:p w:rsidR="00456CD5" w:rsidRPr="00EF3122" w:rsidRDefault="00456CD5"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r w:rsidRPr="00EF3122">
        <w:rPr>
          <w:rStyle w:val="lev"/>
          <w:rFonts w:asciiTheme="minorHAnsi" w:hAnsiTheme="minorHAnsi" w:cstheme="minorHAnsi"/>
          <w:color w:val="333333"/>
          <w:sz w:val="20"/>
          <w:szCs w:val="20"/>
        </w:rPr>
        <w:t>-Les sujets obèses ou en surpoids</w:t>
      </w:r>
      <w:r w:rsidRPr="00EF3122">
        <w:rPr>
          <w:rFonts w:asciiTheme="minorHAnsi" w:hAnsiTheme="minorHAnsi" w:cstheme="minorHAnsi"/>
          <w:color w:val="333333"/>
          <w:sz w:val="20"/>
          <w:szCs w:val="20"/>
        </w:rPr>
        <w:t>, notamment en raison d’une plus grande pression abdominale.</w:t>
      </w:r>
    </w:p>
    <w:p w:rsidR="00456CD5" w:rsidRDefault="00456CD5"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r w:rsidRPr="00EF3122">
        <w:rPr>
          <w:rFonts w:asciiTheme="minorHAnsi" w:hAnsiTheme="minorHAnsi" w:cstheme="minorHAnsi"/>
          <w:color w:val="333333"/>
          <w:sz w:val="20"/>
          <w:szCs w:val="20"/>
        </w:rPr>
        <w:t>–</w:t>
      </w:r>
      <w:r w:rsidRPr="00EF3122">
        <w:rPr>
          <w:rStyle w:val="lev"/>
          <w:rFonts w:asciiTheme="minorHAnsi" w:hAnsiTheme="minorHAnsi" w:cstheme="minorHAnsi"/>
          <w:color w:val="333333"/>
          <w:sz w:val="20"/>
          <w:szCs w:val="20"/>
        </w:rPr>
        <w:t>Les personnes âgées de 50 ans et plus :</w:t>
      </w:r>
      <w:r w:rsidRPr="00EF3122">
        <w:rPr>
          <w:rFonts w:asciiTheme="minorHAnsi" w:hAnsiTheme="minorHAnsi" w:cstheme="minorHAnsi"/>
          <w:color w:val="333333"/>
          <w:sz w:val="20"/>
          <w:szCs w:val="20"/>
        </w:rPr>
        <w:t> avec l’âge, le sphincter œsophagien se relâche plus facilement, ceci peut entraîner du reflux.</w:t>
      </w:r>
    </w:p>
    <w:p w:rsidR="00EF3122" w:rsidRPr="00EF3122" w:rsidRDefault="00EF3122" w:rsidP="00EF3122">
      <w:pPr>
        <w:pStyle w:val="NormalWeb"/>
        <w:shd w:val="clear" w:color="auto" w:fill="FFFFFF"/>
        <w:spacing w:before="0" w:beforeAutospacing="0" w:after="0" w:afterAutospacing="0"/>
        <w:ind w:left="708"/>
        <w:rPr>
          <w:rFonts w:asciiTheme="minorHAnsi" w:hAnsiTheme="minorHAnsi" w:cstheme="minorHAnsi"/>
          <w:color w:val="333333"/>
          <w:sz w:val="20"/>
          <w:szCs w:val="20"/>
        </w:rPr>
      </w:pPr>
    </w:p>
    <w:p w:rsidR="00456CD5" w:rsidRPr="00EF3122" w:rsidRDefault="00456CD5" w:rsidP="00EF3122">
      <w:pPr>
        <w:pStyle w:val="Titre2"/>
        <w:shd w:val="clear" w:color="auto" w:fill="FFFFFF"/>
        <w:spacing w:before="0" w:beforeAutospacing="0" w:after="0" w:afterAutospacing="0"/>
        <w:rPr>
          <w:rFonts w:asciiTheme="minorHAnsi" w:hAnsiTheme="minorHAnsi" w:cstheme="minorHAnsi"/>
          <w:b w:val="0"/>
          <w:bCs w:val="0"/>
          <w:sz w:val="24"/>
          <w:szCs w:val="20"/>
        </w:rPr>
      </w:pPr>
      <w:r w:rsidRPr="00EF3122">
        <w:rPr>
          <w:rStyle w:val="lev"/>
          <w:rFonts w:asciiTheme="minorHAnsi" w:hAnsiTheme="minorHAnsi" w:cstheme="minorHAnsi"/>
          <w:b/>
          <w:bCs/>
          <w:sz w:val="24"/>
          <w:szCs w:val="20"/>
        </w:rPr>
        <w:t xml:space="preserve">Reflux </w:t>
      </w:r>
      <w:proofErr w:type="spellStart"/>
      <w:r w:rsidRPr="00EF3122">
        <w:rPr>
          <w:rStyle w:val="lev"/>
          <w:rFonts w:asciiTheme="minorHAnsi" w:hAnsiTheme="minorHAnsi" w:cstheme="minorHAnsi"/>
          <w:b/>
          <w:bCs/>
          <w:sz w:val="24"/>
          <w:szCs w:val="20"/>
        </w:rPr>
        <w:t>gastro-oesophagien</w:t>
      </w:r>
      <w:proofErr w:type="spellEnd"/>
      <w:r w:rsidRPr="00EF3122">
        <w:rPr>
          <w:rStyle w:val="lev"/>
          <w:rFonts w:asciiTheme="minorHAnsi" w:hAnsiTheme="minorHAnsi" w:cstheme="minorHAnsi"/>
          <w:b/>
          <w:bCs/>
          <w:sz w:val="24"/>
          <w:szCs w:val="20"/>
        </w:rPr>
        <w:t> : quelles sont les causes ?</w:t>
      </w: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noProof/>
          <w:color w:val="333333"/>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857500" cy="1495425"/>
            <wp:effectExtent l="0" t="0" r="0" b="9525"/>
            <wp:wrapTight wrapText="bothSides">
              <wp:wrapPolygon edited="0">
                <wp:start x="0" y="0"/>
                <wp:lineTo x="0" y="21462"/>
                <wp:lineTo x="21456" y="21462"/>
                <wp:lineTo x="21456" y="0"/>
                <wp:lineTo x="0" y="0"/>
              </wp:wrapPolygon>
            </wp:wrapTight>
            <wp:docPr id="132" name="Image 132" descr="reflux-gastriqu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reflux-gastriques-cau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122">
        <w:rPr>
          <w:rFonts w:asciiTheme="minorHAnsi" w:hAnsiTheme="minorHAnsi" w:cstheme="minorHAnsi"/>
          <w:color w:val="333333"/>
          <w:sz w:val="20"/>
          <w:szCs w:val="20"/>
        </w:rPr>
        <w:t>Le </w:t>
      </w:r>
      <w:r w:rsidRPr="00EF3122">
        <w:rPr>
          <w:rFonts w:asciiTheme="minorHAnsi" w:hAnsiTheme="minorHAnsi" w:cstheme="minorHAnsi"/>
          <w:b/>
          <w:bCs/>
          <w:color w:val="333333"/>
          <w:sz w:val="20"/>
          <w:szCs w:val="20"/>
        </w:rPr>
        <w:t>reflux gastro-œsophagien </w:t>
      </w:r>
      <w:r w:rsidRPr="00EF3122">
        <w:rPr>
          <w:rFonts w:asciiTheme="minorHAnsi" w:hAnsiTheme="minorHAnsi" w:cstheme="minorHAnsi"/>
          <w:color w:val="333333"/>
          <w:sz w:val="20"/>
          <w:szCs w:val="20"/>
        </w:rPr>
        <w:t> apparaît suite à certains facteurs :</w:t>
      </w:r>
    </w:p>
    <w:p w:rsidR="00EF3122" w:rsidRPr="00EF3122" w:rsidRDefault="00EF3122"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Pr="00EF3122" w:rsidRDefault="00456CD5" w:rsidP="00EF3122">
      <w:pPr>
        <w:numPr>
          <w:ilvl w:val="0"/>
          <w:numId w:val="2"/>
        </w:numPr>
        <w:shd w:val="clear" w:color="auto" w:fill="FFFFFF"/>
        <w:spacing w:after="0" w:line="240" w:lineRule="auto"/>
        <w:ind w:left="0"/>
        <w:rPr>
          <w:rFonts w:cstheme="minorHAnsi"/>
          <w:color w:val="333333"/>
          <w:sz w:val="20"/>
          <w:szCs w:val="20"/>
        </w:rPr>
      </w:pPr>
      <w:r w:rsidRPr="00EF3122">
        <w:rPr>
          <w:rStyle w:val="lev"/>
          <w:rFonts w:cstheme="minorHAnsi"/>
          <w:color w:val="333333"/>
          <w:sz w:val="20"/>
          <w:szCs w:val="20"/>
        </w:rPr>
        <w:t>Une pression excessive</w:t>
      </w:r>
      <w:r w:rsidRPr="00EF3122">
        <w:rPr>
          <w:rFonts w:cstheme="minorHAnsi"/>
          <w:color w:val="333333"/>
          <w:sz w:val="20"/>
          <w:szCs w:val="20"/>
        </w:rPr>
        <w:t> sur l’abdomen liée à un surpoids ou à une obésité.</w:t>
      </w:r>
    </w:p>
    <w:p w:rsidR="00456CD5" w:rsidRPr="00EF3122" w:rsidRDefault="00456CD5" w:rsidP="00EF3122">
      <w:pPr>
        <w:numPr>
          <w:ilvl w:val="0"/>
          <w:numId w:val="2"/>
        </w:numPr>
        <w:shd w:val="clear" w:color="auto" w:fill="FFFFFF"/>
        <w:spacing w:before="100" w:beforeAutospacing="1" w:after="0" w:line="240" w:lineRule="auto"/>
        <w:ind w:left="0"/>
        <w:rPr>
          <w:rFonts w:cstheme="minorHAnsi"/>
          <w:color w:val="333333"/>
          <w:sz w:val="20"/>
          <w:szCs w:val="20"/>
        </w:rPr>
      </w:pPr>
      <w:r w:rsidRPr="00EF3122">
        <w:rPr>
          <w:rStyle w:val="lev"/>
          <w:rFonts w:cstheme="minorHAnsi"/>
          <w:color w:val="333333"/>
          <w:sz w:val="20"/>
          <w:szCs w:val="20"/>
        </w:rPr>
        <w:t>L’alimentation :</w:t>
      </w:r>
      <w:r w:rsidRPr="00EF3122">
        <w:rPr>
          <w:rFonts w:cstheme="minorHAnsi"/>
          <w:color w:val="333333"/>
          <w:sz w:val="20"/>
          <w:szCs w:val="20"/>
        </w:rPr>
        <w:t> trop copieuse, trop grasse ou épicée.</w:t>
      </w:r>
    </w:p>
    <w:p w:rsidR="00456CD5" w:rsidRPr="00EF3122" w:rsidRDefault="00456CD5" w:rsidP="00EF3122">
      <w:pPr>
        <w:numPr>
          <w:ilvl w:val="0"/>
          <w:numId w:val="2"/>
        </w:numPr>
        <w:shd w:val="clear" w:color="auto" w:fill="FFFFFF"/>
        <w:spacing w:before="100" w:beforeAutospacing="1" w:after="0" w:line="240" w:lineRule="auto"/>
        <w:ind w:left="0"/>
        <w:rPr>
          <w:rFonts w:cstheme="minorHAnsi"/>
          <w:color w:val="333333"/>
          <w:sz w:val="20"/>
          <w:szCs w:val="20"/>
        </w:rPr>
      </w:pPr>
      <w:r w:rsidRPr="00EF3122">
        <w:rPr>
          <w:rStyle w:val="lev"/>
          <w:rFonts w:cstheme="minorHAnsi"/>
          <w:color w:val="333333"/>
          <w:sz w:val="20"/>
          <w:szCs w:val="20"/>
        </w:rPr>
        <w:t>Certains médicaments</w:t>
      </w:r>
      <w:r w:rsidRPr="00EF3122">
        <w:rPr>
          <w:rFonts w:cstheme="minorHAnsi"/>
          <w:color w:val="333333"/>
          <w:sz w:val="20"/>
          <w:szCs w:val="20"/>
        </w:rPr>
        <w:t>  peuvent provoquer ou aggraver les symptômes du reflux gastro-œsophagien dont l’aspirine et les anti-inflammatoires non stéroïdiens.</w:t>
      </w:r>
    </w:p>
    <w:p w:rsidR="00456CD5" w:rsidRPr="00EF3122" w:rsidRDefault="00456CD5" w:rsidP="00EF3122">
      <w:pPr>
        <w:numPr>
          <w:ilvl w:val="0"/>
          <w:numId w:val="2"/>
        </w:numPr>
        <w:shd w:val="clear" w:color="auto" w:fill="FFFFFF"/>
        <w:spacing w:before="100" w:beforeAutospacing="1" w:after="0" w:line="240" w:lineRule="auto"/>
        <w:ind w:left="0"/>
        <w:rPr>
          <w:rFonts w:cstheme="minorHAnsi"/>
          <w:color w:val="333333"/>
          <w:sz w:val="20"/>
          <w:szCs w:val="20"/>
        </w:rPr>
      </w:pPr>
      <w:r w:rsidRPr="00EF3122">
        <w:rPr>
          <w:rStyle w:val="lev"/>
          <w:rFonts w:cstheme="minorHAnsi"/>
          <w:color w:val="333333"/>
          <w:sz w:val="20"/>
          <w:szCs w:val="20"/>
        </w:rPr>
        <w:t>Une grossesse</w:t>
      </w:r>
      <w:r w:rsidRPr="00EF3122">
        <w:rPr>
          <w:rFonts w:cstheme="minorHAnsi"/>
          <w:color w:val="333333"/>
          <w:sz w:val="20"/>
          <w:szCs w:val="20"/>
        </w:rPr>
        <w:t> en raison des modifications anatomiques</w:t>
      </w:r>
    </w:p>
    <w:p w:rsidR="00456CD5" w:rsidRPr="00EF3122" w:rsidRDefault="00456CD5" w:rsidP="00EF3122">
      <w:pPr>
        <w:numPr>
          <w:ilvl w:val="0"/>
          <w:numId w:val="2"/>
        </w:numPr>
        <w:shd w:val="clear" w:color="auto" w:fill="FFFFFF"/>
        <w:spacing w:before="100" w:beforeAutospacing="1" w:after="0" w:line="240" w:lineRule="auto"/>
        <w:ind w:left="0"/>
        <w:rPr>
          <w:rFonts w:cstheme="minorHAnsi"/>
          <w:color w:val="333333"/>
          <w:sz w:val="20"/>
          <w:szCs w:val="20"/>
        </w:rPr>
      </w:pPr>
      <w:r w:rsidRPr="00EF3122">
        <w:rPr>
          <w:rStyle w:val="lev"/>
          <w:rFonts w:cstheme="minorHAnsi"/>
          <w:color w:val="333333"/>
          <w:sz w:val="20"/>
          <w:szCs w:val="20"/>
        </w:rPr>
        <w:t>Le stress</w:t>
      </w:r>
      <w:r w:rsidRPr="00EF3122">
        <w:rPr>
          <w:rFonts w:cstheme="minorHAnsi"/>
          <w:color w:val="333333"/>
          <w:sz w:val="20"/>
          <w:szCs w:val="20"/>
        </w:rPr>
        <w:t> qui aggrave les symptômes du reflux.</w:t>
      </w: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lastRenderedPageBreak/>
        <w:t xml:space="preserve">D’autres facteurs favorisent l’apparition de RGO comme la consommation répétée de boissons gazeuses, l’alcool, le tabac, le chocolat et le café qui ont tendance à diminuer le tonus du sphincter </w:t>
      </w:r>
      <w:proofErr w:type="spellStart"/>
      <w:r w:rsidRPr="00EF3122">
        <w:rPr>
          <w:rFonts w:asciiTheme="minorHAnsi" w:hAnsiTheme="minorHAnsi" w:cstheme="minorHAnsi"/>
          <w:color w:val="333333"/>
          <w:sz w:val="20"/>
          <w:szCs w:val="20"/>
        </w:rPr>
        <w:t>oesophagien</w:t>
      </w:r>
      <w:proofErr w:type="spellEnd"/>
      <w:r w:rsidRPr="00EF3122">
        <w:rPr>
          <w:rFonts w:asciiTheme="minorHAnsi" w:hAnsiTheme="minorHAnsi" w:cstheme="minorHAnsi"/>
          <w:color w:val="333333"/>
          <w:sz w:val="20"/>
          <w:szCs w:val="20"/>
        </w:rPr>
        <w:t>.</w:t>
      </w:r>
    </w:p>
    <w:p w:rsidR="00EF3122" w:rsidRPr="00EF3122" w:rsidRDefault="00EF3122" w:rsidP="00EF3122">
      <w:pPr>
        <w:pStyle w:val="NormalWeb"/>
        <w:shd w:val="clear" w:color="auto" w:fill="FFFFFF"/>
        <w:spacing w:before="0" w:beforeAutospacing="0" w:after="0" w:afterAutospacing="0"/>
        <w:rPr>
          <w:rFonts w:asciiTheme="minorHAnsi" w:hAnsiTheme="minorHAnsi" w:cstheme="minorHAnsi"/>
          <w:color w:val="333333"/>
          <w:sz w:val="20"/>
          <w:szCs w:val="20"/>
        </w:rPr>
      </w:pPr>
    </w:p>
    <w:p w:rsidR="00456CD5" w:rsidRPr="00EF3122" w:rsidRDefault="00456CD5" w:rsidP="00EF3122">
      <w:pPr>
        <w:pStyle w:val="Titre2"/>
        <w:shd w:val="clear" w:color="auto" w:fill="FFFFFF"/>
        <w:spacing w:before="0" w:beforeAutospacing="0" w:after="0" w:afterAutospacing="0"/>
        <w:rPr>
          <w:rFonts w:asciiTheme="minorHAnsi" w:hAnsiTheme="minorHAnsi" w:cstheme="minorHAnsi"/>
          <w:b w:val="0"/>
          <w:bCs w:val="0"/>
          <w:sz w:val="24"/>
          <w:szCs w:val="20"/>
        </w:rPr>
      </w:pPr>
      <w:r w:rsidRPr="00EF3122">
        <w:rPr>
          <w:rStyle w:val="lev"/>
          <w:rFonts w:asciiTheme="minorHAnsi" w:hAnsiTheme="minorHAnsi" w:cstheme="minorHAnsi"/>
          <w:b/>
          <w:bCs/>
          <w:sz w:val="24"/>
          <w:szCs w:val="20"/>
        </w:rPr>
        <w:t xml:space="preserve">Reflux </w:t>
      </w:r>
      <w:proofErr w:type="spellStart"/>
      <w:r w:rsidRPr="00EF3122">
        <w:rPr>
          <w:rStyle w:val="lev"/>
          <w:rFonts w:asciiTheme="minorHAnsi" w:hAnsiTheme="minorHAnsi" w:cstheme="minorHAnsi"/>
          <w:b/>
          <w:bCs/>
          <w:sz w:val="24"/>
          <w:szCs w:val="20"/>
        </w:rPr>
        <w:t>gastro-oesophagien</w:t>
      </w:r>
      <w:proofErr w:type="spellEnd"/>
      <w:r w:rsidRPr="00EF3122">
        <w:rPr>
          <w:rStyle w:val="lev"/>
          <w:rFonts w:asciiTheme="minorHAnsi" w:hAnsiTheme="minorHAnsi" w:cstheme="minorHAnsi"/>
          <w:b/>
          <w:bCs/>
          <w:sz w:val="24"/>
          <w:szCs w:val="20"/>
        </w:rPr>
        <w:t>: quels sont les symptômes ?</w:t>
      </w: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noProof/>
          <w:color w:val="333333"/>
          <w:sz w:val="20"/>
          <w:szCs w:val="20"/>
        </w:rPr>
        <w:drawing>
          <wp:anchor distT="0" distB="0" distL="114300" distR="114300" simplePos="0" relativeHeight="251661312" behindDoc="1" locked="0" layoutInCell="1" allowOverlap="1">
            <wp:simplePos x="0" y="0"/>
            <wp:positionH relativeFrom="column">
              <wp:posOffset>-635</wp:posOffset>
            </wp:positionH>
            <wp:positionV relativeFrom="paragraph">
              <wp:posOffset>6350</wp:posOffset>
            </wp:positionV>
            <wp:extent cx="2276475" cy="1517650"/>
            <wp:effectExtent l="0" t="0" r="9525" b="6350"/>
            <wp:wrapTight wrapText="bothSides">
              <wp:wrapPolygon edited="0">
                <wp:start x="0" y="0"/>
                <wp:lineTo x="0" y="21419"/>
                <wp:lineTo x="21510" y="21419"/>
                <wp:lineTo x="21510" y="0"/>
                <wp:lineTo x="0" y="0"/>
              </wp:wrapPolygon>
            </wp:wrapTight>
            <wp:docPr id="131" name="Image 131" descr="reflux-gastriques-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reflux-gastriques-sympto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122">
        <w:rPr>
          <w:rFonts w:asciiTheme="minorHAnsi" w:hAnsiTheme="minorHAnsi" w:cstheme="minorHAnsi"/>
          <w:color w:val="333333"/>
          <w:sz w:val="20"/>
          <w:szCs w:val="20"/>
        </w:rPr>
        <w:t>Le </w:t>
      </w:r>
      <w:r w:rsidRPr="00EF3122">
        <w:rPr>
          <w:rStyle w:val="lev"/>
          <w:rFonts w:asciiTheme="minorHAnsi" w:hAnsiTheme="minorHAnsi" w:cstheme="minorHAnsi"/>
          <w:color w:val="333333"/>
          <w:sz w:val="20"/>
          <w:szCs w:val="20"/>
        </w:rPr>
        <w:t xml:space="preserve">reflux </w:t>
      </w:r>
      <w:proofErr w:type="spellStart"/>
      <w:r w:rsidRPr="00EF3122">
        <w:rPr>
          <w:rStyle w:val="lev"/>
          <w:rFonts w:asciiTheme="minorHAnsi" w:hAnsiTheme="minorHAnsi" w:cstheme="minorHAnsi"/>
          <w:color w:val="333333"/>
          <w:sz w:val="20"/>
          <w:szCs w:val="20"/>
        </w:rPr>
        <w:t>gastro-oesophagien</w:t>
      </w:r>
      <w:proofErr w:type="spellEnd"/>
      <w:r w:rsidRPr="00EF3122">
        <w:rPr>
          <w:rFonts w:asciiTheme="minorHAnsi" w:hAnsiTheme="minorHAnsi" w:cstheme="minorHAnsi"/>
          <w:color w:val="333333"/>
          <w:sz w:val="20"/>
          <w:szCs w:val="20"/>
        </w:rPr>
        <w:t> se manifeste par :</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Pr="00EF3122" w:rsidRDefault="00456CD5" w:rsidP="00103F50">
      <w:pPr>
        <w:numPr>
          <w:ilvl w:val="0"/>
          <w:numId w:val="3"/>
        </w:numPr>
        <w:shd w:val="clear" w:color="auto" w:fill="FFFFFF"/>
        <w:spacing w:after="0" w:line="240" w:lineRule="auto"/>
        <w:ind w:left="0"/>
        <w:rPr>
          <w:rFonts w:cstheme="minorHAnsi"/>
          <w:color w:val="333333"/>
          <w:sz w:val="20"/>
          <w:szCs w:val="20"/>
        </w:rPr>
      </w:pPr>
      <w:r w:rsidRPr="00EF3122">
        <w:rPr>
          <w:rFonts w:cstheme="minorHAnsi"/>
          <w:color w:val="333333"/>
          <w:sz w:val="20"/>
          <w:szCs w:val="20"/>
        </w:rPr>
        <w:t>Un pyrosis. Le pyrosis est une sensation de brûlure derrière le sternum après un repas. Cette sensation est due au fait que les cellules de l’œsophage ne sont pas conçues pour résister au pH très acide présent dans l’estomac.</w:t>
      </w:r>
    </w:p>
    <w:p w:rsidR="00456CD5" w:rsidRPr="00EF3122" w:rsidRDefault="00456CD5" w:rsidP="00EF3122">
      <w:pPr>
        <w:numPr>
          <w:ilvl w:val="0"/>
          <w:numId w:val="3"/>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Un enrouement de la voix</w:t>
      </w:r>
    </w:p>
    <w:p w:rsidR="00456CD5" w:rsidRPr="00EF3122" w:rsidRDefault="00456CD5" w:rsidP="00EF3122">
      <w:pPr>
        <w:numPr>
          <w:ilvl w:val="0"/>
          <w:numId w:val="3"/>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Des difficultés à avaler</w:t>
      </w:r>
    </w:p>
    <w:p w:rsidR="00456CD5" w:rsidRPr="00EF3122" w:rsidRDefault="00456CD5" w:rsidP="00EF3122">
      <w:pPr>
        <w:numPr>
          <w:ilvl w:val="0"/>
          <w:numId w:val="3"/>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Des régurgitations acides sans nausée ni effort de vomissement,</w:t>
      </w:r>
    </w:p>
    <w:p w:rsidR="00456CD5" w:rsidRPr="00EF3122" w:rsidRDefault="00456CD5" w:rsidP="00EF3122">
      <w:pPr>
        <w:numPr>
          <w:ilvl w:val="0"/>
          <w:numId w:val="3"/>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Parfois des suées et une toux nocturne,</w:t>
      </w:r>
    </w:p>
    <w:p w:rsidR="00456CD5" w:rsidRDefault="00456CD5" w:rsidP="00EF3122">
      <w:pPr>
        <w:numPr>
          <w:ilvl w:val="0"/>
          <w:numId w:val="3"/>
        </w:numPr>
        <w:shd w:val="clear" w:color="auto" w:fill="FFFFFF"/>
        <w:spacing w:before="100" w:beforeAutospacing="1" w:after="0" w:line="240" w:lineRule="auto"/>
        <w:ind w:left="0"/>
        <w:rPr>
          <w:rFonts w:cstheme="minorHAnsi"/>
          <w:color w:val="333333"/>
          <w:sz w:val="20"/>
          <w:szCs w:val="20"/>
        </w:rPr>
      </w:pPr>
      <w:r w:rsidRPr="00EF3122">
        <w:rPr>
          <w:rFonts w:cstheme="minorHAnsi"/>
          <w:color w:val="333333"/>
          <w:sz w:val="20"/>
          <w:szCs w:val="20"/>
        </w:rPr>
        <w:t>Des douleurs épigastriques se retrouvent chez ¼ des sujets.</w:t>
      </w:r>
    </w:p>
    <w:p w:rsidR="00103F50" w:rsidRPr="00EF3122" w:rsidRDefault="00103F50" w:rsidP="00EF3122">
      <w:pPr>
        <w:numPr>
          <w:ilvl w:val="0"/>
          <w:numId w:val="3"/>
        </w:numPr>
        <w:shd w:val="clear" w:color="auto" w:fill="FFFFFF"/>
        <w:spacing w:before="100" w:beforeAutospacing="1" w:after="0" w:line="240" w:lineRule="auto"/>
        <w:ind w:left="0"/>
        <w:rPr>
          <w:rFonts w:cstheme="minorHAnsi"/>
          <w:color w:val="333333"/>
          <w:sz w:val="2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Ce type de douleur n’est pas anodin, elle passe rarement « toute seule ». En effet, les complications dues aux </w:t>
      </w:r>
      <w:r w:rsidRPr="00EF3122">
        <w:rPr>
          <w:rStyle w:val="lev"/>
          <w:rFonts w:asciiTheme="minorHAnsi" w:hAnsiTheme="minorHAnsi" w:cstheme="minorHAnsi"/>
          <w:color w:val="333333"/>
          <w:sz w:val="20"/>
          <w:szCs w:val="20"/>
        </w:rPr>
        <w:t>RGO</w:t>
      </w:r>
      <w:r w:rsidRPr="00EF3122">
        <w:rPr>
          <w:rFonts w:asciiTheme="minorHAnsi" w:hAnsiTheme="minorHAnsi" w:cstheme="minorHAnsi"/>
          <w:color w:val="333333"/>
          <w:sz w:val="20"/>
          <w:szCs w:val="20"/>
        </w:rPr>
        <w:t> peuvent rapidement s’avérer graves sans traitement. La formation d’ulcère peut survenir avec le temps et dans les formes les plus graves, donner une œsophagite voire un cancer.</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C’est pour cela qu’il est important de consulter un médecin si le </w:t>
      </w:r>
      <w:r w:rsidRPr="00EF3122">
        <w:rPr>
          <w:rStyle w:val="lev"/>
          <w:rFonts w:asciiTheme="minorHAnsi" w:hAnsiTheme="minorHAnsi" w:cstheme="minorHAnsi"/>
          <w:color w:val="333333"/>
          <w:sz w:val="20"/>
          <w:szCs w:val="20"/>
        </w:rPr>
        <w:t>reflux gastro-</w:t>
      </w:r>
      <w:r w:rsidRPr="00EF3122">
        <w:rPr>
          <w:rFonts w:asciiTheme="minorHAnsi" w:hAnsiTheme="minorHAnsi" w:cstheme="minorHAnsi"/>
          <w:b/>
          <w:bCs/>
          <w:color w:val="333333"/>
          <w:sz w:val="20"/>
          <w:szCs w:val="20"/>
        </w:rPr>
        <w:t>œsophagien</w:t>
      </w:r>
      <w:r w:rsidRPr="00EF3122">
        <w:rPr>
          <w:rFonts w:asciiTheme="minorHAnsi" w:hAnsiTheme="minorHAnsi" w:cstheme="minorHAnsi"/>
          <w:color w:val="333333"/>
          <w:sz w:val="20"/>
          <w:szCs w:val="20"/>
        </w:rPr>
        <w:t> persiste depuis un certain temps et s’accompagne d’une dysphagie (difficulté à déglutir).</w:t>
      </w:r>
    </w:p>
    <w:p w:rsidR="00103F50" w:rsidRPr="00EF3122" w:rsidRDefault="00103F50" w:rsidP="00EF3122">
      <w:pPr>
        <w:pStyle w:val="NormalWeb"/>
        <w:shd w:val="clear" w:color="auto" w:fill="FFFFFF"/>
        <w:spacing w:before="0" w:beforeAutospacing="0" w:after="0" w:afterAutospacing="0"/>
        <w:rPr>
          <w:rFonts w:asciiTheme="minorHAnsi" w:hAnsiTheme="minorHAnsi" w:cstheme="minorHAnsi"/>
          <w:color w:val="333333"/>
          <w:sz w:val="20"/>
          <w:szCs w:val="20"/>
        </w:rPr>
      </w:pPr>
    </w:p>
    <w:p w:rsidR="00456CD5" w:rsidRPr="00103F50" w:rsidRDefault="00103F50" w:rsidP="00EF3122">
      <w:pPr>
        <w:pStyle w:val="Titre2"/>
        <w:shd w:val="clear" w:color="auto" w:fill="FFFFFF"/>
        <w:spacing w:before="0" w:beforeAutospacing="0" w:after="0" w:afterAutospacing="0"/>
        <w:rPr>
          <w:rFonts w:asciiTheme="minorHAnsi" w:hAnsiTheme="minorHAnsi" w:cstheme="minorHAnsi"/>
          <w:b w:val="0"/>
          <w:bCs w:val="0"/>
          <w:sz w:val="24"/>
          <w:szCs w:val="20"/>
        </w:rPr>
      </w:pPr>
      <w:r w:rsidRPr="00EF3122">
        <w:rPr>
          <w:rFonts w:asciiTheme="minorHAnsi" w:hAnsiTheme="minorHAnsi" w:cstheme="minorHAnsi"/>
          <w:noProof/>
          <w:color w:val="333333"/>
          <w:sz w:val="20"/>
          <w:szCs w:val="20"/>
        </w:rPr>
        <w:drawing>
          <wp:anchor distT="0" distB="0" distL="114300" distR="114300" simplePos="0" relativeHeight="251662336" behindDoc="1" locked="0" layoutInCell="1" allowOverlap="1" wp14:anchorId="5F249608" wp14:editId="199C97EF">
            <wp:simplePos x="0" y="0"/>
            <wp:positionH relativeFrom="column">
              <wp:align>right</wp:align>
            </wp:positionH>
            <wp:positionV relativeFrom="paragraph">
              <wp:posOffset>374650</wp:posOffset>
            </wp:positionV>
            <wp:extent cx="2676525" cy="1684655"/>
            <wp:effectExtent l="0" t="0" r="0" b="0"/>
            <wp:wrapTight wrapText="bothSides">
              <wp:wrapPolygon edited="0">
                <wp:start x="0" y="0"/>
                <wp:lineTo x="0" y="21250"/>
                <wp:lineTo x="21369" y="21250"/>
                <wp:lineTo x="21369" y="0"/>
                <wp:lineTo x="0" y="0"/>
              </wp:wrapPolygon>
            </wp:wrapTight>
            <wp:docPr id="130" name="Image 130" descr="reflux-gastriques-urgenc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eflux-gastriques-urgence-par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765" cy="16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D5" w:rsidRPr="00103F50">
        <w:rPr>
          <w:rStyle w:val="lev"/>
          <w:rFonts w:asciiTheme="minorHAnsi" w:hAnsiTheme="minorHAnsi" w:cstheme="minorHAnsi"/>
          <w:b/>
          <w:bCs/>
          <w:sz w:val="24"/>
          <w:szCs w:val="20"/>
        </w:rPr>
        <w:t xml:space="preserve">Reflux </w:t>
      </w:r>
      <w:proofErr w:type="spellStart"/>
      <w:r w:rsidR="00456CD5" w:rsidRPr="00103F50">
        <w:rPr>
          <w:rStyle w:val="lev"/>
          <w:rFonts w:asciiTheme="minorHAnsi" w:hAnsiTheme="minorHAnsi" w:cstheme="minorHAnsi"/>
          <w:b/>
          <w:bCs/>
          <w:sz w:val="24"/>
          <w:szCs w:val="20"/>
        </w:rPr>
        <w:t>gastro-oesophagien</w:t>
      </w:r>
      <w:proofErr w:type="spellEnd"/>
      <w:r w:rsidR="00456CD5" w:rsidRPr="00103F50">
        <w:rPr>
          <w:rStyle w:val="lev"/>
          <w:rFonts w:asciiTheme="minorHAnsi" w:hAnsiTheme="minorHAnsi" w:cstheme="minorHAnsi"/>
          <w:b/>
          <w:bCs/>
          <w:sz w:val="24"/>
          <w:szCs w:val="20"/>
        </w:rPr>
        <w:t>: que peut faire l’ostéopathie ? </w:t>
      </w:r>
    </w:p>
    <w:p w:rsidR="00456CD5" w:rsidRPr="00103F50" w:rsidRDefault="00456CD5"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103F50"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Le </w:t>
      </w:r>
      <w:r w:rsidRPr="00EF3122">
        <w:rPr>
          <w:rStyle w:val="lev"/>
          <w:rFonts w:asciiTheme="minorHAnsi" w:hAnsiTheme="minorHAnsi" w:cstheme="minorHAnsi"/>
          <w:color w:val="333333"/>
          <w:sz w:val="20"/>
          <w:szCs w:val="20"/>
        </w:rPr>
        <w:t>reflux gastro œsophagien</w:t>
      </w:r>
      <w:r w:rsidRPr="00EF3122">
        <w:rPr>
          <w:rFonts w:asciiTheme="minorHAnsi" w:hAnsiTheme="minorHAnsi" w:cstheme="minorHAnsi"/>
          <w:color w:val="333333"/>
          <w:sz w:val="20"/>
          <w:szCs w:val="20"/>
        </w:rPr>
        <w:t> est un motif de consultation assez fréquent en ostéopathie. Cependant, il est à noter que cette dernière ne permet pas de soulager les RGO dues à des hernies hiatales particulièrement importantes (la chir</w:t>
      </w:r>
      <w:r w:rsidR="00103F50">
        <w:rPr>
          <w:rFonts w:asciiTheme="minorHAnsi" w:hAnsiTheme="minorHAnsi" w:cstheme="minorHAnsi"/>
          <w:color w:val="333333"/>
          <w:sz w:val="20"/>
          <w:szCs w:val="20"/>
        </w:rPr>
        <w:t>urgie sera parfois inévitable).</w:t>
      </w: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Toutefois, ces cas restent relativement rares, le diagnostic étant généralement posé suffisamment précocement.</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Dans tous les autres cas, l’ostéopathie peut se révéler intéressante. En effet, les ostéopathes interviennent auprès de leurs patients sans jamais avoir recours à des dispositifs mécaniques ou à des médicaments.</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 xml:space="preserve">Dans son approche globale, </w:t>
      </w:r>
      <w:r w:rsidR="00103F50">
        <w:rPr>
          <w:rFonts w:asciiTheme="minorHAnsi" w:hAnsiTheme="minorHAnsi" w:cstheme="minorHAnsi"/>
          <w:color w:val="333333"/>
          <w:sz w:val="20"/>
          <w:szCs w:val="20"/>
        </w:rPr>
        <w:t xml:space="preserve">votre </w:t>
      </w:r>
      <w:r w:rsidR="00103F50">
        <w:rPr>
          <w:rStyle w:val="lev"/>
          <w:rFonts w:asciiTheme="minorHAnsi" w:hAnsiTheme="minorHAnsi" w:cstheme="minorHAnsi"/>
          <w:color w:val="333333"/>
          <w:sz w:val="20"/>
          <w:szCs w:val="20"/>
        </w:rPr>
        <w:t>Os</w:t>
      </w:r>
      <w:r w:rsidRPr="00EF3122">
        <w:rPr>
          <w:rStyle w:val="lev"/>
          <w:rFonts w:asciiTheme="minorHAnsi" w:hAnsiTheme="minorHAnsi" w:cstheme="minorHAnsi"/>
          <w:color w:val="333333"/>
          <w:sz w:val="20"/>
          <w:szCs w:val="20"/>
        </w:rPr>
        <w:t>téopathe</w:t>
      </w:r>
      <w:r w:rsidR="00103F50">
        <w:rPr>
          <w:rStyle w:val="lev"/>
          <w:rFonts w:asciiTheme="minorHAnsi" w:hAnsiTheme="minorHAnsi" w:cstheme="minorHAnsi"/>
          <w:color w:val="333333"/>
          <w:sz w:val="20"/>
          <w:szCs w:val="20"/>
        </w:rPr>
        <w:t xml:space="preserve"> </w:t>
      </w:r>
      <w:r w:rsidR="00103F50">
        <w:rPr>
          <w:rFonts w:asciiTheme="minorHAnsi" w:hAnsiTheme="minorHAnsi" w:cstheme="minorHAnsi"/>
          <w:color w:val="333333"/>
          <w:sz w:val="20"/>
          <w:szCs w:val="20"/>
        </w:rPr>
        <w:t xml:space="preserve">va savoir </w:t>
      </w:r>
      <w:r w:rsidRPr="00EF3122">
        <w:rPr>
          <w:rFonts w:asciiTheme="minorHAnsi" w:hAnsiTheme="minorHAnsi" w:cstheme="minorHAnsi"/>
          <w:color w:val="333333"/>
          <w:sz w:val="20"/>
          <w:szCs w:val="20"/>
        </w:rPr>
        <w:t>intervenir sur une partie du corps qui semble complètement déconnectée du symptôme, mais qui en fait en est la cause réelle.</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Le thérapeute va favoriser la mobilité des différentes structures autour de l’estomac et de l’œsophage, notamment du diaphragme. Pour cela, </w:t>
      </w:r>
      <w:r w:rsidR="00103F50">
        <w:rPr>
          <w:rFonts w:asciiTheme="minorHAnsi" w:hAnsiTheme="minorHAnsi" w:cstheme="minorHAnsi"/>
          <w:color w:val="333333"/>
          <w:sz w:val="20"/>
          <w:szCs w:val="20"/>
        </w:rPr>
        <w:t>l’</w:t>
      </w:r>
      <w:r w:rsidRPr="00EF3122">
        <w:rPr>
          <w:rStyle w:val="lev"/>
          <w:rFonts w:asciiTheme="minorHAnsi" w:hAnsiTheme="minorHAnsi" w:cstheme="minorHAnsi"/>
          <w:color w:val="333333"/>
          <w:sz w:val="20"/>
          <w:szCs w:val="20"/>
        </w:rPr>
        <w:t>ostéopathe</w:t>
      </w:r>
      <w:r w:rsidR="00103F50">
        <w:rPr>
          <w:rStyle w:val="lev"/>
          <w:rFonts w:asciiTheme="minorHAnsi" w:hAnsiTheme="minorHAnsi" w:cstheme="minorHAnsi"/>
          <w:color w:val="333333"/>
          <w:sz w:val="20"/>
          <w:szCs w:val="20"/>
        </w:rPr>
        <w:t xml:space="preserve"> </w:t>
      </w:r>
      <w:r w:rsidRPr="00EF3122">
        <w:rPr>
          <w:rFonts w:asciiTheme="minorHAnsi" w:hAnsiTheme="minorHAnsi" w:cstheme="minorHAnsi"/>
          <w:color w:val="333333"/>
          <w:sz w:val="20"/>
          <w:szCs w:val="20"/>
        </w:rPr>
        <w:t>travaillera sur les zones d’insertion de ce puissant muscle : la colonne vertébrale, le sternum, les côtes. Il agira également sur l’estomac et ses rapports viscéraux (adhérences, perte de mobilité, etc.) afin qu’il retrouve une mobilité correcte.</w:t>
      </w:r>
    </w:p>
    <w:p w:rsidR="00103F50" w:rsidRPr="00103F50" w:rsidRDefault="00103F50" w:rsidP="00EF3122">
      <w:pPr>
        <w:pStyle w:val="NormalWeb"/>
        <w:shd w:val="clear" w:color="auto" w:fill="FFFFFF"/>
        <w:spacing w:before="0" w:beforeAutospacing="0" w:after="0" w:afterAutospacing="0"/>
        <w:rPr>
          <w:rFonts w:asciiTheme="minorHAnsi" w:hAnsiTheme="minorHAnsi" w:cstheme="minorHAnsi"/>
          <w:color w:val="333333"/>
          <w:sz w:val="10"/>
          <w:szCs w:val="20"/>
        </w:rPr>
      </w:pP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Les </w:t>
      </w:r>
      <w:r w:rsidRPr="00EF3122">
        <w:rPr>
          <w:rStyle w:val="lev"/>
          <w:rFonts w:asciiTheme="minorHAnsi" w:hAnsiTheme="minorHAnsi" w:cstheme="minorHAnsi"/>
          <w:color w:val="333333"/>
          <w:sz w:val="20"/>
          <w:szCs w:val="20"/>
        </w:rPr>
        <w:t>techniques viscérales</w:t>
      </w:r>
      <w:r w:rsidRPr="00EF3122">
        <w:rPr>
          <w:rFonts w:asciiTheme="minorHAnsi" w:hAnsiTheme="minorHAnsi" w:cstheme="minorHAnsi"/>
          <w:color w:val="333333"/>
          <w:sz w:val="20"/>
          <w:szCs w:val="20"/>
        </w:rPr>
        <w:t> vont permettre de rendre le tonus et la mobilité du sphincter inférieur de l’œsophage. Ceci afin de diminuer voire faire disparaître ce type de maux.</w:t>
      </w:r>
    </w:p>
    <w:p w:rsidR="00456CD5" w:rsidRPr="00EF3122" w:rsidRDefault="00456CD5" w:rsidP="00EF3122">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De plus, un traitement crânien permettra de rééquilibrer le système neuro-végétatif (par une action sur le nerf vague : nerf qui innerve la majorité des organes de la cavité abdominale).</w:t>
      </w:r>
    </w:p>
    <w:p w:rsidR="00456CD5" w:rsidRDefault="00456CD5" w:rsidP="00EF3122">
      <w:pPr>
        <w:pStyle w:val="NormalWeb"/>
        <w:shd w:val="clear" w:color="auto" w:fill="FFFFFF"/>
        <w:spacing w:before="0" w:beforeAutospacing="0" w:after="0" w:afterAutospacing="0"/>
        <w:rPr>
          <w:rStyle w:val="lev"/>
          <w:rFonts w:asciiTheme="minorHAnsi" w:hAnsiTheme="minorHAnsi" w:cstheme="minorHAnsi"/>
          <w:color w:val="333333"/>
          <w:sz w:val="20"/>
          <w:szCs w:val="20"/>
        </w:rPr>
      </w:pPr>
      <w:r w:rsidRPr="00EF3122">
        <w:rPr>
          <w:rFonts w:asciiTheme="minorHAnsi" w:hAnsiTheme="minorHAnsi" w:cstheme="minorHAnsi"/>
          <w:color w:val="333333"/>
          <w:sz w:val="20"/>
          <w:szCs w:val="20"/>
        </w:rPr>
        <w:t>En effet, le système neurovégétatif contrôle les sécrétions gastriques entre autres. Pour cela, il procédera notamment à la libération des nerfs vagues en investiguant les structures présentes sur leur trajet </w:t>
      </w:r>
      <w:r w:rsidRPr="00EF3122">
        <w:rPr>
          <w:rStyle w:val="lev"/>
          <w:rFonts w:asciiTheme="minorHAnsi" w:hAnsiTheme="minorHAnsi" w:cstheme="minorHAnsi"/>
          <w:color w:val="333333"/>
          <w:sz w:val="20"/>
          <w:szCs w:val="20"/>
        </w:rPr>
        <w:t>(crâne, clavicule, thorax, diaphragme, abdomen).</w:t>
      </w:r>
    </w:p>
    <w:p w:rsidR="00103F50" w:rsidRPr="00EF3122" w:rsidRDefault="00103F50" w:rsidP="00EF3122">
      <w:pPr>
        <w:pStyle w:val="NormalWeb"/>
        <w:shd w:val="clear" w:color="auto" w:fill="FFFFFF"/>
        <w:spacing w:before="0" w:beforeAutospacing="0" w:after="0" w:afterAutospacing="0"/>
        <w:rPr>
          <w:rFonts w:asciiTheme="minorHAnsi" w:hAnsiTheme="minorHAnsi" w:cstheme="minorHAnsi"/>
          <w:color w:val="333333"/>
          <w:sz w:val="20"/>
          <w:szCs w:val="20"/>
        </w:rPr>
      </w:pPr>
    </w:p>
    <w:p w:rsidR="00456CD5" w:rsidRPr="00103F50" w:rsidRDefault="00456CD5" w:rsidP="00103F50">
      <w:pPr>
        <w:pStyle w:val="NormalWeb"/>
        <w:shd w:val="clear" w:color="auto" w:fill="FFFFFF"/>
        <w:spacing w:before="0" w:beforeAutospacing="0" w:after="0" w:afterAutospacing="0"/>
        <w:rPr>
          <w:rFonts w:asciiTheme="minorHAnsi" w:hAnsiTheme="minorHAnsi" w:cstheme="minorHAnsi"/>
          <w:color w:val="333333"/>
          <w:sz w:val="20"/>
          <w:szCs w:val="20"/>
        </w:rPr>
      </w:pPr>
      <w:r w:rsidRPr="00EF3122">
        <w:rPr>
          <w:rFonts w:asciiTheme="minorHAnsi" w:hAnsiTheme="minorHAnsi" w:cstheme="minorHAnsi"/>
          <w:color w:val="333333"/>
          <w:sz w:val="20"/>
          <w:szCs w:val="20"/>
        </w:rPr>
        <w:t>Selon la nature et de la gravité du </w:t>
      </w:r>
      <w:r w:rsidRPr="00EF3122">
        <w:rPr>
          <w:rStyle w:val="lev"/>
          <w:rFonts w:asciiTheme="minorHAnsi" w:hAnsiTheme="minorHAnsi" w:cstheme="minorHAnsi"/>
          <w:color w:val="333333"/>
          <w:sz w:val="20"/>
          <w:szCs w:val="20"/>
        </w:rPr>
        <w:t>reflux gastrique</w:t>
      </w:r>
      <w:r w:rsidRPr="00EF3122">
        <w:rPr>
          <w:rFonts w:asciiTheme="minorHAnsi" w:hAnsiTheme="minorHAnsi" w:cstheme="minorHAnsi"/>
          <w:color w:val="333333"/>
          <w:sz w:val="20"/>
          <w:szCs w:val="20"/>
        </w:rPr>
        <w:t xml:space="preserve">, le traitement sera uniquement ostéopathique ou accompagné d’autres actes médicaux. Dans le premier cas et en général, </w:t>
      </w:r>
      <w:r w:rsidRPr="00103F50">
        <w:rPr>
          <w:rFonts w:asciiTheme="minorHAnsi" w:hAnsiTheme="minorHAnsi" w:cstheme="minorHAnsi"/>
          <w:b/>
          <w:color w:val="333333"/>
          <w:sz w:val="20"/>
          <w:szCs w:val="20"/>
        </w:rPr>
        <w:t xml:space="preserve">il suffit d’une à trois séances pour </w:t>
      </w:r>
      <w:r w:rsidR="00103F50" w:rsidRPr="00103F50">
        <w:rPr>
          <w:rFonts w:asciiTheme="minorHAnsi" w:hAnsiTheme="minorHAnsi" w:cstheme="minorHAnsi"/>
          <w:b/>
          <w:color w:val="333333"/>
          <w:sz w:val="20"/>
          <w:szCs w:val="20"/>
        </w:rPr>
        <w:t>que le traitement soit efficace !</w:t>
      </w:r>
    </w:p>
    <w:sectPr w:rsidR="00456CD5" w:rsidRPr="00103F50" w:rsidSect="00DD38C8">
      <w:footerReference w:type="even" r:id="rId15"/>
      <w:footerReference w:type="default" r:id="rId16"/>
      <w:pgSz w:w="11906" w:h="16838"/>
      <w:pgMar w:top="720" w:right="720" w:bottom="720" w:left="720" w:header="708"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25" w:rsidRDefault="00CD3125" w:rsidP="00DD38C8">
      <w:pPr>
        <w:spacing w:after="0" w:line="240" w:lineRule="auto"/>
      </w:pPr>
      <w:r>
        <w:separator/>
      </w:r>
    </w:p>
  </w:endnote>
  <w:endnote w:type="continuationSeparator" w:id="0">
    <w:p w:rsidR="00CD3125" w:rsidRDefault="00CD3125" w:rsidP="00DD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81" w:rsidRPr="00B04598" w:rsidRDefault="00C65181" w:rsidP="00C65181">
    <w:pPr>
      <w:pStyle w:val="Pieddepage"/>
      <w:jc w:val="right"/>
      <w:rPr>
        <w:sz w:val="18"/>
      </w:rPr>
    </w:pPr>
    <w:r w:rsidRPr="00B04598">
      <w:rPr>
        <w:sz w:val="18"/>
      </w:rPr>
      <w:t>R</w:t>
    </w:r>
    <w:r w:rsidR="0076121C">
      <w:rPr>
        <w:sz w:val="18"/>
      </w:rPr>
      <w:t>é</w:t>
    </w:r>
    <w:r w:rsidRPr="00B04598">
      <w:rPr>
        <w:sz w:val="18"/>
      </w:rPr>
      <w:t>alisé sur la base des articles www.urgence-osteopathe-sos.fr</w:t>
    </w:r>
  </w:p>
  <w:p w:rsidR="00DD38C8" w:rsidRPr="00C65181" w:rsidRDefault="00DD38C8" w:rsidP="00C651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C8" w:rsidRDefault="0076121C">
    <w:pPr>
      <w:pStyle w:val="Pieddepage"/>
    </w:pPr>
    <w:r>
      <w:rPr>
        <w:noProof/>
      </w:rPr>
      <w:drawing>
        <wp:inline distT="0" distB="0" distL="0" distR="0" wp14:anchorId="104A0F2E" wp14:editId="043509FE">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409575" cy="345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409575" cy="3456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25" w:rsidRDefault="00CD3125" w:rsidP="00DD38C8">
      <w:pPr>
        <w:spacing w:after="0" w:line="240" w:lineRule="auto"/>
      </w:pPr>
      <w:r>
        <w:separator/>
      </w:r>
    </w:p>
  </w:footnote>
  <w:footnote w:type="continuationSeparator" w:id="0">
    <w:p w:rsidR="00CD3125" w:rsidRDefault="00CD3125" w:rsidP="00DD3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C3AC9"/>
    <w:multiLevelType w:val="multilevel"/>
    <w:tmpl w:val="D8E8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3F4F52"/>
    <w:multiLevelType w:val="multilevel"/>
    <w:tmpl w:val="79D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AF4692"/>
    <w:multiLevelType w:val="multilevel"/>
    <w:tmpl w:val="235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03F50"/>
    <w:rsid w:val="0012738B"/>
    <w:rsid w:val="001E25AC"/>
    <w:rsid w:val="0030518E"/>
    <w:rsid w:val="00342D62"/>
    <w:rsid w:val="003565B7"/>
    <w:rsid w:val="003D1598"/>
    <w:rsid w:val="00400D1F"/>
    <w:rsid w:val="00420DDA"/>
    <w:rsid w:val="00423657"/>
    <w:rsid w:val="004568CE"/>
    <w:rsid w:val="00456CD5"/>
    <w:rsid w:val="0049624E"/>
    <w:rsid w:val="005946CF"/>
    <w:rsid w:val="006370C2"/>
    <w:rsid w:val="00697C06"/>
    <w:rsid w:val="0076121C"/>
    <w:rsid w:val="00884B2B"/>
    <w:rsid w:val="00947E28"/>
    <w:rsid w:val="009D708B"/>
    <w:rsid w:val="00A03C8A"/>
    <w:rsid w:val="00A738CE"/>
    <w:rsid w:val="00C51D46"/>
    <w:rsid w:val="00C558AA"/>
    <w:rsid w:val="00C65181"/>
    <w:rsid w:val="00C9661F"/>
    <w:rsid w:val="00CC731F"/>
    <w:rsid w:val="00CD3125"/>
    <w:rsid w:val="00D93A48"/>
    <w:rsid w:val="00DB62D5"/>
    <w:rsid w:val="00DD38C8"/>
    <w:rsid w:val="00DF78EF"/>
    <w:rsid w:val="00E71BA1"/>
    <w:rsid w:val="00E77434"/>
    <w:rsid w:val="00EF3122"/>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D38C8"/>
    <w:pPr>
      <w:tabs>
        <w:tab w:val="center" w:pos="4536"/>
        <w:tab w:val="right" w:pos="9072"/>
      </w:tabs>
      <w:spacing w:after="0" w:line="240" w:lineRule="auto"/>
    </w:pPr>
  </w:style>
  <w:style w:type="character" w:customStyle="1" w:styleId="En-tteCar">
    <w:name w:val="En-tête Car"/>
    <w:basedOn w:val="Policepardfaut"/>
    <w:link w:val="En-tte"/>
    <w:uiPriority w:val="99"/>
    <w:rsid w:val="00DD38C8"/>
  </w:style>
  <w:style w:type="paragraph" w:styleId="Pieddepage">
    <w:name w:val="footer"/>
    <w:basedOn w:val="Normal"/>
    <w:link w:val="PieddepageCar"/>
    <w:uiPriority w:val="99"/>
    <w:unhideWhenUsed/>
    <w:rsid w:val="00DD3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D38C8"/>
    <w:pPr>
      <w:tabs>
        <w:tab w:val="center" w:pos="4536"/>
        <w:tab w:val="right" w:pos="9072"/>
      </w:tabs>
      <w:spacing w:after="0" w:line="240" w:lineRule="auto"/>
    </w:pPr>
  </w:style>
  <w:style w:type="character" w:customStyle="1" w:styleId="En-tteCar">
    <w:name w:val="En-tête Car"/>
    <w:basedOn w:val="Policepardfaut"/>
    <w:link w:val="En-tte"/>
    <w:uiPriority w:val="99"/>
    <w:rsid w:val="00DD38C8"/>
  </w:style>
  <w:style w:type="paragraph" w:styleId="Pieddepage">
    <w:name w:val="footer"/>
    <w:basedOn w:val="Normal"/>
    <w:link w:val="PieddepageCar"/>
    <w:uiPriority w:val="99"/>
    <w:unhideWhenUsed/>
    <w:rsid w:val="00DD3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ence-osteopathe-sos.fr/reflux-gastro-oesophagien-et-osteopathie/"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gence-osteopathe-sos.fr/reflux-gastro-oesophagien-et-osteopath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2018-07-29T07:42:00Z</dcterms:created>
  <dcterms:modified xsi:type="dcterms:W3CDTF">2018-08-22T15:13:00Z</dcterms:modified>
</cp:coreProperties>
</file>